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Times New Roman"/>
          <w:sz w:val="32"/>
          <w:szCs w:val="32"/>
        </w:rPr>
        <w:widowControl w:val="1"/>
        <w:snapToGrid w:val="0"/>
        <w:keepNext w:val="1"/>
      </w:pPr>
      <w:r>
        <w:rPr>
          <w:rFonts w:hint="eastAsia" w:ascii="华文中宋" w:hAnsi="华文中宋" w:eastAsia="华文中宋" w:cs="Times New Roman"/>
          <w:sz w:val="32"/>
          <w:szCs w:val="32"/>
          <w:color w:val="000000"/>
        </w:rPr>
        <w:t xml:space="preserve">隐私保护提示</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欢迎使用《纪元急袭》。我们重视您的隐私。本提示概括当前版本的信息处理方式，请同时阅读后面的完整隐私政策。</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当前 Windows 和 Android 游戏是可离线运行的单人游戏，无需注册或登录。本机进度、设置和对战存档不会由游戏自动上传给开发者。</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当前 Android 发布包未声明网络、定位、相机、麦克风、通讯录或共享存储访问权限，不会为这些权限弹出授权请求。游戏只在本机应用数据目录读写自身文件。</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游戏未接入广告、统计、支付、账号登录或云存档 SDK，也不通过游戏收集姓名、手机号、身份证号、广告标识符或精确位置。</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当您主动联系开发者时，我们会处理您自愿提供的邮件地址、联系内容和附件，用于答复和解决问题；请勿发送身份证件、密码等不必要信息。</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本隐私网页由 Vercel 托管。访问网页会产生 IP 地址等必要的网络请求信息，具体见第一、二、五节。这不会使游戏中的本机存档自动上传。</w:t>
      </w:r>
    </w:p>
    <w:p>
      <w:pPr>
        <w:rPr>
          <w:rFonts w:ascii="华文仿宋" w:hAnsi="华文仿宋" w:eastAsia="华文仿宋" w:cs="Times New Roman"/>
        </w:rPr>
        <w:widowControl w:val="1"/>
        <w:snapToGrid w:val="0"/>
      </w:pPr>
      <w:r>
        <w:rPr>
          <w:rFonts w:hint="eastAsia" w:ascii="华文仿宋" w:hAnsi="华文仿宋" w:eastAsia="华文仿宋" w:cs="Times New Roman"/>
          <w:color w:val="000000"/>
        </w:rPr>
        <w:t xml:space="preserve">您可以清除本机游戏数据，并就已向我们提供的信息行使查阅、更正、删除、撤回同意等权利。未成年人请与监护人一起阅读；涉及未满十四周岁儿童的联系请求，请由监护人提出。</w:t>
      </w:r>
    </w:p>
    <w:p>
      <w:pPr>
        <w:adjustRightInd w:val="0"/>
        <w:snapToGrid w:val="0"/>
        <w:spacing w:before="0" w:after="156" w:afterLines="50" w:line="300" w:lineRule="auto"/>
        <w:rPr>
          <w:rFonts w:ascii="Times New Roman" w:hAnsi="Times New Roman" w:eastAsia="华文仿宋" w:cs="Times New Roman"/>
          <w:b/>
        </w:rPr>
        <w:widowControl w:val="1"/>
        <w:pageBreakBefore w:val="1"/>
      </w:pPr>
      <w:r>
        <w:rPr>
          <w:rFonts w:ascii="Times New Roman" w:hAnsi="Times New Roman" w:eastAsia="华文仿宋" w:cs="Times New Roman"/>
          <w:b/>
          <w:color w:val="000000"/>
        </w:rPr>
        <w:t xml:space="preserve">更新日期：2026年10月8日</w:t>
      </w:r>
    </w:p>
    <w:p>
      <w:pPr>
        <w:adjustRightInd w:val="0"/>
        <w:snapToGrid w:val="0"/>
        <w:spacing w:before="0" w:after="156" w:afterLines="50" w:line="300" w:lineRule="auto"/>
        <w:rPr>
          <w:rFonts w:ascii="Times New Roman" w:hAnsi="Times New Roman" w:eastAsia="华文仿宋" w:cs="Times New Roman"/>
          <w:b/>
        </w:rPr>
        <w:widowControl w:val="1"/>
      </w:pPr>
      <w:r>
        <w:rPr>
          <w:rFonts w:ascii="Times New Roman" w:hAnsi="Times New Roman" w:eastAsia="华文仿宋" w:cs="Times New Roman"/>
          <w:b/>
          <w:color w:val="000000"/>
        </w:rPr>
        <w:t xml:space="preserve">生效日期：2026年10月8日</w:t>
      </w:r>
    </w:p>
    <w:p>
      <w:pPr>
        <w:adjustRightInd w:val="0"/>
        <w:snapToGrid w:val="0"/>
        <w:spacing w:before="0" w:after="156" w:afterLines="50" w:line="300" w:lineRule="auto"/>
        <w:rPr>
          <w:rFonts w:ascii="Times New Roman" w:hAnsi="Times New Roman" w:eastAsia="华文仿宋" w:cs="Times New Roman"/>
          <w:b/>
        </w:rPr>
        <w:widowControl w:val="1"/>
      </w:pPr>
      <w:r>
        <w:rPr>
          <w:rFonts w:ascii="Times New Roman" w:hAnsi="Times New Roman" w:eastAsia="华文仿宋" w:cs="Times New Roman"/>
          <w:b/>
          <w:color w:val="000000"/>
        </w:rPr>
        <w:t xml:space="preserve">政策版本：ER-PRIVACY-2026-10-08</w:t>
      </w:r>
    </w:p>
    <w:p>
      <w:pPr>
        <w:pStyle w:val="Title"/>
        <w:spacing w:before="0" w:after="156" w:afterLines="50" w:line="360" w:lineRule="auto"/>
        <w:jc w:val="center"/>
        <w:rPr>
          <w:rFonts w:ascii="Times New Roman" w:hAnsi="Times New Roman" w:eastAsia="华文仿宋" w:cs="Times New Roman"/>
          <w:b/>
          <w:bCs/>
          <w:kern w:val="44"/>
          <w:sz w:val="32"/>
        </w:rPr>
        <w:widowControl w:val="1"/>
        <w:snapToGrid w:val="0"/>
        <w:keepNext w:val="1"/>
      </w:pPr>
      <w:r>
        <w:rPr>
          <w:rFonts w:hint="eastAsia" w:ascii="Times New Roman" w:hAnsi="Times New Roman" w:eastAsia="华文仿宋" w:cs="Times New Roman"/>
          <w:b/>
          <w:bCs/>
          <w:kern w:val="44"/>
          <w:sz w:val="32"/>
          <w:lang w:eastAsia="zh-CN"/>
          <w:color w:val="000000"/>
        </w:rPr>
        <w:t xml:space="preserve">纪元急袭隐私政策</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《纪元急袭》的开发者及运营者对外名称为Wikig's Room（项目发布账号 wikigsroom），以下简称“我们”。本政策说明我们在提供游戏、处理主动联系请求及提供本隐私说明网页时，如何处理信息以及您如何行使权利。隐私联系邮箱：carzyg@outlook.com。</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本政策适用于截至生效日的《纪元急袭》Godot 原生 Windows 与 Android 0.7.0 版本，以及发布本政策的网页。英文名称为 Epoch Rush: Pixel Command；Android 包名为 studio.epochrush.pixelcommand。其他发行渠道如另外增加登录、广告、支付或其他功能，应在启用前另行明确告知，不能直接沿用本政策中关于当前版本的描述。</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根据《中华人民共和国个人信息保护法》等适用法律处理个人信息。我们只处理与明确目的有关的必要信息，不能将您阅读本政策或使用离线游戏视为对一切信息处理活动的概括授权。对依法需要同意、单独同意或监护人同意的活动，我们会在相应处理开始前履行告知并取得所需同意。</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ageBreakBefore w:val="1"/>
      </w:pPr>
      <w:r>
        <w:rPr>
          <w:rFonts w:hint="eastAsia" w:ascii="Times New Roman" w:hAnsi="Times New Roman" w:eastAsia="华文仿宋" w:cs="Times New Roman"/>
          <w:b/>
          <w:bCs/>
          <w:lang w:val="en-US" w:eastAsia="zh-CN"/>
          <w:color w:val="000000"/>
        </w:rPr>
        <w:t xml:space="preserve">政策目录</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一 我们如何收集和使用您的个人信息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二 我们如何保存您的个人信息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三 我们如何使用 Cookies 和同类技术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四 我们如何共享 转让和公开披露您的个人信息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五 第三方产品或服务如何处理信息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六 我们如何保护您的个人信息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七 您如何管理您的个人信息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八 我们如何处理未成年人的个人信息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九 本隐私政策如何更新</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十 如何联系我们</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一 我们如何收集和使用您的个人信息</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1 本机游戏数据</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游戏为保存进度和继续对局，在您的设备中读写以下数据：已通关关卡、英雄解锁与熟练度、圣物与碎片、阵容、胜负次数、奖励记录；音量、音乐和音效开关、全屏和降低镜头动态设置；当前对局的双方状态、单位、资源、时代、技能、随机种子及对战时间等。对战编号由时间和本机序号形成，用于避免重复结算奖励，不是账号或跨应用设备标识。</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上述数据用于本机游戏功能，不与姓名、手机号或在线身份绑定，也不会由当前游戏自动上传。引擎还可能在本机保存版本、图形设备或驱动情况、运行错误等诊断日志，供本机运行排查使用；日志可能包含文件路径等细节，不会由当前游戏自动发送。我们无法远程读取、同步或恢复您的存档。本政策列明本机数据是为了说明实际行为，并不表示开发者已经收到这些数据。</w:t>
      </w:r>
    </w:p>
    <w:tbl>
      <w:tblPr>
        <w:tblStyle w:val="11"/>
        <w:tblW w:w="8306" w:type="dxa"/>
        <w:tblInd w:w="0" w:type="dxa"/>
        <w:tblLayout w:type="fixed"/>
        <w:tblCellMar>
          <w:top w:w="15" w:type="dxa"/>
          <w:left w:w="15" w:type="dxa"/>
          <w:bottom w:w="15" w:type="dxa"/>
          <w:right w:w="15" w:type="dxa"/>
        </w:tblCellMar>
      </w:tblPr>
      <w:tblGrid>
        <w:gridCol w:w="1350"/>
        <w:gridCol w:w="2500"/>
        <w:gridCol w:w="2900"/>
        <w:gridCol w:w="1556"/>
      </w:tblGrid>
      <w:tr>
        <w:trPr>
          <w:cantSplit/>
          <w:tblHeader/>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center"/>
              <w:rPr>
                <w:rFonts w:ascii="Times New Roman" w:hAnsi="Times New Roman" w:eastAsia="仿宋" w:cs="Arial"/>
                <w:b/>
                <w:bCs/>
                <w:sz w:val="20"/>
                <w:szCs w:val="20"/>
              </w:rPr>
              <w:keepNext w:val="1"/>
            </w:pPr>
            <w:r>
              <w:rPr>
                <w:rFonts w:ascii="Times New Roman" w:hAnsi="Times New Roman" w:eastAsia="华文仿宋"/>
                <w:sz w:val="20"/>
                <w:szCs w:val="20"/>
                <w:color w:val="000000"/>
                <w:b/>
              </w:rPr>
              <w:t>处理场景</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center"/>
              <w:rPr>
                <w:rFonts w:ascii="Times New Roman" w:hAnsi="Times New Roman" w:eastAsia="仿宋" w:cs="Arial"/>
                <w:b/>
                <w:bCs/>
                <w:sz w:val="20"/>
                <w:szCs w:val="20"/>
              </w:rPr>
              <w:keepNext w:val="1"/>
            </w:pPr>
            <w:r>
              <w:rPr>
                <w:rFonts w:ascii="Times New Roman" w:hAnsi="Times New Roman" w:eastAsia="华文仿宋"/>
                <w:sz w:val="20"/>
                <w:szCs w:val="20"/>
                <w:color w:val="000000"/>
                <w:b/>
              </w:rPr>
              <w:t>信息范围</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center"/>
              <w:rPr>
                <w:rFonts w:ascii="Times New Roman" w:hAnsi="Times New Roman" w:eastAsia="仿宋" w:cs="Arial"/>
                <w:b/>
                <w:bCs/>
                <w:sz w:val="20"/>
                <w:szCs w:val="20"/>
              </w:rPr>
              <w:keepNext w:val="1"/>
            </w:pPr>
            <w:r>
              <w:rPr>
                <w:rFonts w:ascii="Times New Roman" w:hAnsi="Times New Roman" w:eastAsia="华文仿宋"/>
                <w:sz w:val="20"/>
                <w:szCs w:val="20"/>
                <w:color w:val="000000"/>
                <w:b/>
              </w:rPr>
              <w:t>用途和保存位置</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center"/>
              <w:rPr>
                <w:rFonts w:ascii="Times New Roman" w:hAnsi="Times New Roman" w:eastAsia="仿宋" w:cs="Arial"/>
                <w:b/>
                <w:bCs/>
                <w:sz w:val="20"/>
                <w:szCs w:val="20"/>
              </w:rPr>
              <w:keepNext w:val="1"/>
            </w:pPr>
            <w:r>
              <w:rPr>
                <w:rFonts w:ascii="Times New Roman" w:hAnsi="Times New Roman" w:eastAsia="华文仿宋"/>
                <w:sz w:val="20"/>
                <w:szCs w:val="20"/>
                <w:color w:val="000000"/>
                <w:b/>
              </w:rPr>
              <w:t>是否传给我们</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本机进度</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keepNext w:val="1"/>
            </w:pPr>
            <w:r>
              <w:rPr>
                <w:rFonts w:ascii="Times New Roman" w:hAnsi="Times New Roman" w:eastAsia="华文仿宋"/>
                <w:sz w:val="20"/>
                <w:szCs w:val="20"/>
                <w:color w:val="000000"/>
              </w:rPr>
              <w:t>关卡、英雄、圣物、阵容、奖励与战绩</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保存进度；设备本机</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不会自动上传</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本机设置</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keepNext w:val="1"/>
            </w:pPr>
            <w:r>
              <w:rPr>
                <w:rFonts w:ascii="Times New Roman" w:hAnsi="Times New Roman" w:eastAsia="华文仿宋"/>
                <w:sz w:val="20"/>
                <w:szCs w:val="20"/>
                <w:color w:val="000000"/>
              </w:rPr>
              <w:t>音量、声音开关、全屏、镜头动态偏好</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保留设置；设备本机</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不会自动上传</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本机对战</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keepNext w:val="1"/>
            </w:pPr>
            <w:r>
              <w:rPr>
                <w:rFonts w:ascii="Times New Roman" w:hAnsi="Times New Roman" w:eastAsia="华文仿宋"/>
                <w:sz w:val="20"/>
                <w:szCs w:val="20"/>
                <w:color w:val="000000"/>
              </w:rPr>
              <w:t>对战时间、编号、双方状态、单位与随机种子</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继续对局、防止重复奖励；设备本机</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不会自动上传</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本机诊断</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keepNext w:val="1"/>
            </w:pPr>
            <w:r>
              <w:rPr>
                <w:rFonts w:ascii="Times New Roman" w:hAnsi="Times New Roman" w:eastAsia="华文仿宋"/>
                <w:sz w:val="20"/>
                <w:szCs w:val="20"/>
                <w:color w:val="000000"/>
              </w:rPr>
              <w:t>引擎、显示驱动或运行错误等日志</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运行排查；设备本机</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不会自动上传</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主动联系</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keepNext w:val="1"/>
            </w:pPr>
            <w:r>
              <w:rPr>
                <w:rFonts w:ascii="Times New Roman" w:hAnsi="Times New Roman" w:eastAsia="华文仿宋"/>
                <w:sz w:val="20"/>
                <w:szCs w:val="20"/>
                <w:color w:val="000000"/>
              </w:rPr>
              <w:t>邮件地址、咨询内容、您主动发送的附件</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答复、排查问题和处理隐私请求；联系渠道</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keepNext w:val="1"/>
            </w:pPr>
            <w:r>
              <w:rPr>
                <w:rFonts w:ascii="Times New Roman" w:hAnsi="Times New Roman" w:eastAsia="华文仿宋"/>
                <w:sz w:val="20"/>
                <w:szCs w:val="20"/>
                <w:color w:val="000000"/>
              </w:rPr>
              <w:t>仅在您主动发送时</w:t>
            </w:r>
          </w:p>
        </w:tc>
      </w:tr>
      <w:tr>
        <w:trPr>
          <w:cantSplit/>
        </w:trPr>
        <w:tc>
          <w:tcPr>
            <w:tcW w:w="13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90" w:after="90" w:line="260" w:lineRule="auto"/>
              <w:jc w:val="left"/>
              <w:rPr>
                <w:rFonts w:ascii="Times New Roman" w:hAnsi="Times New Roman" w:eastAsia="仿宋" w:cs="Arial"/>
                <w:sz w:val="20"/>
                <w:szCs w:val="20"/>
              </w:rPr>
            </w:pPr>
            <w:r>
              <w:rPr>
                <w:rFonts w:ascii="Times New Roman" w:hAnsi="Times New Roman" w:eastAsia="华文仿宋"/>
                <w:sz w:val="20"/>
                <w:szCs w:val="20"/>
                <w:color w:val="000000"/>
              </w:rPr>
              <w:t>阅读网页</w:t>
            </w:r>
          </w:p>
        </w:tc>
        <w:tc>
          <w:tcPr>
            <w:tcW w:w="25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ind w:firstLine="400" w:firstLineChars="200"/>
              <w:jc w:val="left"/>
              <w:rPr>
                <w:rFonts w:hint="default" w:ascii="Times New Roman" w:hAnsi="Times New Roman" w:eastAsia="仿宋" w:cs="Arial"/>
                <w:kern w:val="0"/>
                <w:sz w:val="20"/>
                <w:szCs w:val="20"/>
                <w:lang w:val="en-US" w:eastAsia="zh-CN"/>
              </w:rPr>
            </w:pPr>
            <w:r>
              <w:rPr>
                <w:rFonts w:ascii="Times New Roman" w:hAnsi="Times New Roman" w:eastAsia="华文仿宋"/>
                <w:sz w:val="20"/>
                <w:szCs w:val="20"/>
                <w:color w:val="000000"/>
              </w:rPr>
              <w:t>IP、请求地址和时间、请求头、由 IP 推断的大致地域等技术信息</w:t>
            </w:r>
          </w:p>
        </w:tc>
        <w:tc>
          <w:tcPr>
            <w:tcW w:w="2900"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90" w:after="90" w:line="260" w:lineRule="auto"/>
              <w:jc w:val="left"/>
              <w:rPr>
                <w:rFonts w:ascii="Times New Roman" w:hAnsi="Times New Roman" w:eastAsia="仿宋" w:cs="Arial"/>
                <w:sz w:val="20"/>
                <w:szCs w:val="20"/>
              </w:rPr>
            </w:pPr>
            <w:r>
              <w:rPr>
                <w:rFonts w:ascii="Times New Roman" w:hAnsi="Times New Roman" w:eastAsia="华文仿宋"/>
                <w:sz w:val="20"/>
                <w:szCs w:val="20"/>
                <w:color w:val="000000"/>
              </w:rPr>
              <w:t>网页交付、故障和安全防护；Vercel</w:t>
            </w:r>
          </w:p>
        </w:tc>
        <w:tc>
          <w:tcPr>
            <w:tcW w:w="155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90" w:after="90" w:line="260" w:lineRule="auto"/>
              <w:jc w:val="left"/>
              <w:rPr>
                <w:rFonts w:ascii="Times New Roman" w:hAnsi="Times New Roman" w:eastAsia="仿宋" w:cs="Arial"/>
                <w:sz w:val="20"/>
                <w:szCs w:val="20"/>
              </w:rPr>
            </w:pPr>
            <w:r>
              <w:rPr>
                <w:rFonts w:ascii="Times New Roman" w:hAnsi="Times New Roman" w:eastAsia="华文仿宋"/>
                <w:sz w:val="20"/>
                <w:szCs w:val="20"/>
                <w:color w:val="000000"/>
              </w:rPr>
              <w:t>由网站托管服务处理</w:t>
            </w:r>
          </w:p>
        </w:tc>
      </w:tr>
    </w:tbl>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2 主动联系与问题反馈</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您通过隐私联系邮箱发送问题时，我们会接收您的邮件地址、联系内容及您主动发送的截图、日志或存档附件，并仅用于回复、问题排查或落实您的权利。提供附件并非游玩游戏的条件。请先删去附件中的姓名、账号、其他应用内容、设备用户名和路径等与问题无关的信息；不要发送身份证件、支付信息或密码。</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我们不会自动获取整份存档或设备诊断日志。如排查需要进一步信息，我们会先说明用途和范围，您可以拒绝提供，拒绝不会影响离线游玩。您也可以仅咨询而不发送附件。</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3 隐私网页的网络请求</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您使用浏览器访问本政策网页时，浏览器会向 Vercel 托管服务发出请求。为传输页面和防范攻击，服务会处理 IP 地址、请求时间、请求 URL、浏览器发送的请求头及系统配置等技术信息，并可能依据 IP 推断城市或国家等大致地域；这不是游戏获取 GPS 精确定位。页面未启用 Vercel Web Analytics、Speed Insights、广告追踪或其他访问统计脚本，也不提供收集信息的在线表单。</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只在您打开网页时发生上述网络处理；离线启动游戏不等同于访问网页。请勿把个人信息写入网页 URL 查询参数。网站访问技术信息不会与您的游戏进度、阵容或战绩关联。</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4 权限及当前未开展的处理</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当前 Android 0.7.0 发布包没有声明网络、定位、相机、麦克风、通讯录、电话状态或共享存储读取权限，不存在相应的运行时授权流程。读写本应用私有目录不需要授予共享存储权限；Windows 版仅使用操作系统赋予该程序的本机运行和文件读写能力。</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当前游戏不设置在线账号、实名认证、多人联网、充值支付、广告、个性化营销或云存档；不通过游戏主动采集手机号、身份证件、联系人、照片、录音、精确位置、IMEI、IMSI、MAC、OAID 或广告标识符；未接入自动上传崩溃信息、用户行为统计或广告归因服务。将来如增加此类功能，会在处理开始前更新说明并履行适用的告知与同意义务。</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5 使用依据与目的限制</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本机文件用于您选择使用的离线游戏功能；您自愿发送的联系信息仅用于处理该次咨询、故障或权利请求；网页技术信息用于交付页面及必要的安全维护。我们不会将这些信息用于广告画像、出售、自动化定价或 AI 模型训练。需要另作使用时，我们会重新履行适用的告知和同意义务；无需同意的处理仅限法律明确规定的范围，不因本政策而扩大。</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二 我们如何保存您的个人信息</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1 本机存储与期限</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本机进度和设置保存在 Godot 的应用数据目录中，主要文件为 profile.json、settings.json 和 match.json。写入时可能产生 .bak 备份及 .tmp 临时文件，供恢复写入或存档读取使用；它们也保存在本机，不是云备份。进度和设置会保留到您清除这些文件或应用数据；当前对局结束并完成结算后，对局存档及其备份、临时文件由游戏清除。引擎本机日志及轮替副本位于该目录的 logs 子目录，可与应用数据一起删除。</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Android 当前发布包的 allowBackup 为 false，未启用标准 Android 自动备份。本机目录保护依赖操作系统和设备安全，本机 JSON 存档没有另外加密。您自行复制、同步或交给设备厂商备份工具的副本，由您及所使用工具的规则决定；开发者不能远程删除这些副本。Windows 删除可执行文件或安装目录通常不会同时清除用户数据目录。</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2 主动联系信息的保存</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仅在解决咨询、处理故障或隐私请求所必需的最短期间保留您主动提供的信息。用途完成、不再必要或依法应删除时，我们将删除或对必要记录作匿名化处理，不将附件长期积累为玩家资料库。法律明确要求保留的记录，仅在法定期限内保存并限制其他使用。</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3 网页托管地点与第三方保存</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游戏存档留在您的设备；网站托管采用 Vercel 的全球基础设施，因此网站访问技术信息可能在美国或其他国家、地区处理或保存，不能承诺本网页相关信息全部保存在中国境内。Vercel 对相关技术和安全信息的保存规则以其公开隐私说明及适用服务条款为准；我们不在网页另建用户数据库，也不设置额外的访问日志采集服务。您可以通过第十节的联系方式请求我们说明或协助处理相关访问数据权利请求。</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邮箱及您主动使用的下载平台也可能使用不同地区的基础设施，具体受所用服务的条款约束。我们不会因为发布本隐私网页而将您的游戏存档传至境外；如以后确需由我们开展新增的个人信息跨境提供，会依法履行相应告知、单独同意及其他适用义务。</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三 我们如何使用 Cookies 和同类技术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当前原生游戏不使用浏览器 Cookies。游戏的 JSON 本机存档不是广告 Cookie，也不会跨应用跟踪您。</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本政策网页未设置营销或分析 Cookie，未使用网页 localStorage、设备指纹、跟踪像素或第三方统计脚本。网页没有登录功能；浏览器为显示网页而进行的正常缓存不属于我们的玩家档案。必要网络安全机制是否设置技术性标识及其处理方式，以托管服务实际行为和 Vercel 隐私说明为准。</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您可以在浏览器中清除网页缓存、Cookies 或限制相关技术，这不会删除原生游戏的存档。若您主动打开外部网站，其 Cookies 设置由该网站处理，可在浏览器及对应网站的隐私设置中管理。</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四 我们如何共享 转让和公开披露您的个人信息</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1 委托与共享</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当前游戏没有将本机进度或玩家标识共享给广告商、统计平台或账号服务商的功能。Vercel 为网页传输与安全处理必要技术信息；您选择发送邮件时，相关邮箱服务商处理邮件传输及保存。本政策第五节说明实际服务及适用范围；这些服务不会因此获得您未主动发送的游戏存档。</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不出售、出租或以广告交换方式提供您的个人信息。除依法履行必要义务外，如需向独立第三方提供我们持有的个人信息，会先告知接收方、目的、方式和信息种类，并依法取得所需单独同意。委托处理将按适用法律限定目的、期限、范围及保护要求，不允许受托方超出约定使用。</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2 转让与公开披露</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如开发运营主体变更，并确需转移我们实际持有的个人信息，我们会依法告知接收方名称和联系方式，要求其继续履行个人信息保护义务；改变原处理目的或方式时，应依法重新取得同意。本机存档不会仅因项目转让自动上传给新主体。</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我们不会将您的咨询邮件、私密附件或联系方式公开为宣传材料。公开披露个人信息将仅在取得适用同意或法律明确要求的范围内进行；依法提供信息时会核实要求及必要范围，并依法保护您的相关权利。</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五 第三方产品或服务如何处理信息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当前原生游戏未接入用于收集玩家个人信息的第三方广告、分析、支付、社交登录或推送 SDK。Godot 引擎及随游戏打包的字体、音频和美术资源用于本机运行，不是自动上传玩家信息的服务。用于开发阶段的素材生成工具未作为玩家数据服务集成进当前游戏。</w:t>
      </w:r>
    </w:p>
    <w:tbl>
      <w:tblPr>
        <w:tblStyle w:val="11"/>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300"/>
        <w:gridCol w:w="1350"/>
        <w:gridCol w:w="3650"/>
        <w:gridCol w:w="2006"/>
      </w:tblGrid>
      <w:tr>
        <w:trPr>
          <w:cantSplit/>
          <w:tblHeader/>
        </w:trPr>
        <w:tc>
          <w:tcPr>
            <w:tcW w:w="1300" w:type="dxa"/>
            <w:vAlign w:val="center"/>
          </w:tcPr>
          <w:p>
            <w:pPr>
              <w:spacing w:before="90" w:after="90" w:line="260" w:lineRule="auto"/>
              <w:jc w:val="center"/>
              <w:rPr>
                <w:rFonts w:ascii="Times New Roman" w:hAnsi="Times New Roman" w:eastAsia="华文仿宋" w:cs="华文仿宋"/>
                <w:b/>
                <w:sz w:val="18"/>
                <w:szCs w:val="18"/>
              </w:rPr>
              <w:widowControl w:val="1"/>
              <w:keepNext w:val="1"/>
            </w:pPr>
            <w:r>
              <w:rPr>
                <w:rFonts w:ascii="Times New Roman" w:hAnsi="Times New Roman" w:eastAsia="华文仿宋"/>
                <w:sz w:val="20"/>
                <w:szCs w:val="20"/>
                <w:color w:val="000000"/>
                <w:b/>
              </w:rPr>
              <w:t>服务提供者</w:t>
            </w:r>
          </w:p>
        </w:tc>
        <w:tc>
          <w:tcPr>
            <w:tcW w:w="1350" w:type="dxa"/>
            <w:vAlign w:val="center"/>
          </w:tcPr>
          <w:p>
            <w:pPr>
              <w:spacing w:before="90" w:after="90" w:line="260" w:lineRule="auto"/>
              <w:jc w:val="center"/>
              <w:rPr>
                <w:rFonts w:ascii="Times New Roman" w:hAnsi="Times New Roman" w:eastAsia="华文仿宋" w:cs="华文仿宋"/>
                <w:b/>
                <w:sz w:val="18"/>
                <w:szCs w:val="18"/>
              </w:rPr>
              <w:widowControl w:val="1"/>
              <w:keepNext w:val="1"/>
            </w:pPr>
            <w:r>
              <w:rPr>
                <w:rFonts w:ascii="Times New Roman" w:hAnsi="Times New Roman" w:eastAsia="华文仿宋"/>
                <w:sz w:val="20"/>
                <w:szCs w:val="20"/>
                <w:color w:val="000000"/>
                <w:b/>
              </w:rPr>
              <w:t>适用场景</w:t>
            </w:r>
          </w:p>
        </w:tc>
        <w:tc>
          <w:tcPr>
            <w:tcW w:w="3650" w:type="dxa"/>
          </w:tcPr>
          <w:p>
            <w:pPr>
              <w:spacing w:before="90" w:after="90" w:line="260" w:lineRule="auto"/>
              <w:jc w:val="center"/>
              <w:rPr>
                <w:rFonts w:ascii="Times New Roman" w:hAnsi="Times New Roman" w:eastAsia="华文仿宋" w:cs="华文仿宋"/>
                <w:b/>
                <w:sz w:val="18"/>
                <w:szCs w:val="18"/>
              </w:rPr>
              <w:widowControl w:val="1"/>
              <w:keepNext w:val="1"/>
            </w:pPr>
            <w:r>
              <w:rPr>
                <w:rFonts w:ascii="Times New Roman" w:hAnsi="Times New Roman" w:eastAsia="华文仿宋"/>
                <w:sz w:val="20"/>
                <w:szCs w:val="20"/>
                <w:color w:val="000000"/>
                <w:b/>
              </w:rPr>
              <w:t>可能处理的信息和用途</w:t>
            </w:r>
          </w:p>
        </w:tc>
        <w:tc>
          <w:tcPr>
            <w:tcW w:w="2006" w:type="dxa"/>
          </w:tcPr>
          <w:p>
            <w:pPr>
              <w:spacing w:before="90" w:after="90" w:line="260" w:lineRule="auto"/>
              <w:jc w:val="center"/>
              <w:rPr>
                <w:rFonts w:ascii="Times New Roman" w:hAnsi="Times New Roman" w:eastAsia="华文仿宋" w:cs="华文仿宋"/>
                <w:b/>
                <w:sz w:val="18"/>
                <w:szCs w:val="18"/>
              </w:rPr>
              <w:widowControl w:val="1"/>
              <w:keepNext w:val="1"/>
            </w:pPr>
            <w:r>
              <w:rPr>
                <w:rFonts w:ascii="Times New Roman" w:hAnsi="Times New Roman" w:eastAsia="华文仿宋"/>
                <w:sz w:val="20"/>
                <w:szCs w:val="20"/>
                <w:color w:val="000000"/>
                <w:b/>
              </w:rPr>
              <w:t>隐私说明</w:t>
            </w:r>
          </w:p>
        </w:tc>
      </w:tr>
      <w:tr>
        <w:trPr>
          <w:cantSplit/>
        </w:trPr>
        <w:tc>
          <w:tcPr>
            <w:tcW w:w="1300" w:type="dxa"/>
            <w:tcMar>
              <w:top w:w="57" w:type="dxa"/>
              <w:left w:w="57" w:type="dxa"/>
              <w:bottom w:w="57" w:type="dxa"/>
              <w:right w:w="57" w:type="dxa"/>
            </w:tcMar>
            <w:vAlign w:val="center"/>
          </w:tcPr>
          <w:p>
            <w:pPr>
              <w:spacing w:before="90" w:after="90" w:line="260" w:lineRule="auto"/>
              <w:jc w:val="left"/>
              <w:rPr>
                <w:rFonts w:ascii="Times New Roman" w:hAnsi="Times New Roman" w:eastAsia="华文仿宋" w:cs="华文仿宋"/>
                <w:sz w:val="18"/>
                <w:szCs w:val="18"/>
              </w:rPr>
              <w:widowControl w:val="1"/>
              <w:keepNext w:val="1"/>
            </w:pPr>
            <w:r>
              <w:rPr>
                <w:rFonts w:ascii="Times New Roman" w:hAnsi="Times New Roman" w:eastAsia="华文仿宋"/>
                <w:sz w:val="20"/>
                <w:szCs w:val="20"/>
                <w:color w:val="000000"/>
              </w:rPr>
              <w:t>Vercel Inc.</w:t>
            </w:r>
          </w:p>
        </w:tc>
        <w:tc>
          <w:tcPr>
            <w:tcW w:w="1350" w:type="dxa"/>
            <w:tcMar>
              <w:top w:w="57" w:type="dxa"/>
              <w:left w:w="57" w:type="dxa"/>
              <w:bottom w:w="57" w:type="dxa"/>
              <w:right w:w="57" w:type="dxa"/>
            </w:tcMar>
            <w:vAlign w:val="center"/>
          </w:tcPr>
          <w:p>
            <w:pPr>
              <w:spacing w:before="90" w:after="90" w:line="260" w:lineRule="auto"/>
              <w:jc w:val="left"/>
              <w:rPr>
                <w:rFonts w:ascii="Times New Roman" w:hAnsi="Times New Roman" w:eastAsia="华文仿宋" w:cs="华文仿宋"/>
                <w:sz w:val="18"/>
                <w:szCs w:val="18"/>
              </w:rPr>
              <w:widowControl w:val="1"/>
              <w:keepNext w:val="1"/>
            </w:pPr>
            <w:r>
              <w:rPr>
                <w:rFonts w:ascii="Times New Roman" w:hAnsi="Times New Roman" w:eastAsia="华文仿宋"/>
                <w:sz w:val="20"/>
                <w:szCs w:val="20"/>
                <w:color w:val="000000"/>
              </w:rPr>
              <w:t>浏览本隐私网页</w:t>
            </w:r>
          </w:p>
        </w:tc>
        <w:tc>
          <w:tcPr>
            <w:tcW w:w="3650" w:type="dxa"/>
            <w:tcMar>
              <w:top w:w="57" w:type="dxa"/>
              <w:left w:w="57" w:type="dxa"/>
              <w:bottom w:w="57" w:type="dxa"/>
              <w:right w:w="57" w:type="dxa"/>
            </w:tcMar>
            <w:vAlign w:val="center"/>
          </w:tcPr>
          <w:p>
            <w:pPr>
              <w:spacing w:before="90" w:after="90" w:line="260" w:lineRule="auto"/>
              <w:rPr>
                <w:rFonts w:hint="eastAsia" w:ascii="Times New Roman" w:hAnsi="Times New Roman" w:eastAsia="华文仿宋" w:cs="华文仿宋"/>
                <w:sz w:val="18"/>
                <w:szCs w:val="18"/>
                <w:lang w:eastAsia="zh-CN"/>
              </w:rPr>
              <w:jc w:val="left"/>
              <w:widowControl w:val="1"/>
              <w:keepNext w:val="1"/>
            </w:pPr>
            <w:r>
              <w:rPr>
                <w:rFonts w:ascii="Times New Roman" w:hAnsi="Times New Roman" w:eastAsia="华文仿宋"/>
                <w:sz w:val="20"/>
                <w:szCs w:val="20"/>
                <w:color w:val="000000"/>
              </w:rPr>
              <w:t>IP、请求及系统配置等技术信息；交付页面和安全防护。不会接收游戏自动上传的存档。</w:t>
            </w:r>
          </w:p>
        </w:tc>
        <w:tc>
          <w:tcPr>
            <w:tcW w:w="2006" w:type="dxa"/>
            <w:tcMar>
              <w:top w:w="57" w:type="dxa"/>
              <w:left w:w="57" w:type="dxa"/>
              <w:bottom w:w="57" w:type="dxa"/>
              <w:right w:w="57" w:type="dxa"/>
            </w:tcMar>
            <w:vAlign w:val="center"/>
          </w:tcPr>
          <w:p>
            <w:pPr>
              <w:spacing w:before="90" w:after="90" w:line="260" w:lineRule="auto"/>
              <w:jc w:val="left"/>
              <w:rPr>
                <w:rFonts w:hint="eastAsia" w:ascii="Times New Roman" w:hAnsi="Times New Roman" w:eastAsia="华文仿宋" w:cs="华文仿宋"/>
                <w:sz w:val="18"/>
                <w:szCs w:val="18"/>
                <w:lang w:eastAsia="zh-CN"/>
              </w:rPr>
              <w:widowControl w:val="1"/>
              <w:keepNext w:val="1"/>
            </w:pPr>
            <w:r>
              <w:rPr>
                <w:rFonts w:ascii="Times New Roman" w:hAnsi="Times New Roman" w:eastAsia="华文仿宋"/>
                <w:sz w:val="20"/>
                <w:szCs w:val="20"/>
                <w:color w:val="000000"/>
              </w:rPr>
              <w:t>Vercel 隐私说明</w:t>
              <w:br/>
              <w:t>链接见本节正文</w:t>
            </w:r>
          </w:p>
        </w:tc>
      </w:tr>
      <w:tr>
        <w:trPr>
          <w:cantSplit/>
        </w:trPr>
        <w:tc>
          <w:tcPr>
            <w:tcW w:w="1300" w:type="dxa"/>
            <w:tcMar>
              <w:top w:w="57" w:type="dxa"/>
              <w:left w:w="57" w:type="dxa"/>
              <w:bottom w:w="57" w:type="dxa"/>
              <w:right w:w="57" w:type="dxa"/>
            </w:tcMar>
            <w:vAlign w:val="center"/>
          </w:tcPr>
          <w:p>
            <w:pPr>
              <w:spacing w:before="90" w:after="90" w:line="260" w:lineRule="auto"/>
              <w:jc w:val="left"/>
              <w:rPr>
                <w:rFonts w:ascii="Times New Roman" w:hAnsi="Times New Roman" w:eastAsia="华文仿宋" w:cs="华文仿宋"/>
                <w:sz w:val="18"/>
                <w:szCs w:val="18"/>
              </w:rPr>
              <w:widowControl w:val="1"/>
            </w:pPr>
            <w:r>
              <w:rPr>
                <w:rFonts w:ascii="Times New Roman" w:hAnsi="Times New Roman" w:eastAsia="华文仿宋"/>
                <w:sz w:val="20"/>
                <w:szCs w:val="20"/>
                <w:color w:val="000000"/>
              </w:rPr>
              <w:t>微软 Outlook.com</w:t>
            </w:r>
          </w:p>
        </w:tc>
        <w:tc>
          <w:tcPr>
            <w:tcW w:w="1350" w:type="dxa"/>
            <w:tcMar>
              <w:top w:w="57" w:type="dxa"/>
              <w:left w:w="57" w:type="dxa"/>
              <w:bottom w:w="57" w:type="dxa"/>
              <w:right w:w="57" w:type="dxa"/>
            </w:tcMar>
            <w:vAlign w:val="center"/>
          </w:tcPr>
          <w:p>
            <w:pPr>
              <w:spacing w:before="90" w:after="90" w:line="260" w:lineRule="auto"/>
              <w:jc w:val="left"/>
              <w:rPr>
                <w:rFonts w:ascii="Times New Roman" w:hAnsi="Times New Roman" w:eastAsia="华文仿宋" w:cs="华文仿宋"/>
                <w:sz w:val="18"/>
                <w:szCs w:val="18"/>
              </w:rPr>
              <w:widowControl w:val="1"/>
            </w:pPr>
            <w:r>
              <w:rPr>
                <w:rFonts w:ascii="Times New Roman" w:hAnsi="Times New Roman" w:eastAsia="华文仿宋"/>
                <w:sz w:val="20"/>
                <w:szCs w:val="20"/>
                <w:color w:val="000000"/>
              </w:rPr>
              <w:t>向我们发送联系邮件</w:t>
            </w:r>
          </w:p>
        </w:tc>
        <w:tc>
          <w:tcPr>
            <w:tcW w:w="3650" w:type="dxa"/>
            <w:tcMar>
              <w:top w:w="57" w:type="dxa"/>
              <w:left w:w="57" w:type="dxa"/>
              <w:bottom w:w="57" w:type="dxa"/>
              <w:right w:w="57" w:type="dxa"/>
            </w:tcMar>
            <w:vAlign w:val="center"/>
          </w:tcPr>
          <w:p>
            <w:pPr>
              <w:spacing w:before="90" w:after="90" w:line="260" w:lineRule="auto"/>
              <w:rPr>
                <w:rFonts w:hint="eastAsia" w:ascii="Times New Roman" w:hAnsi="Times New Roman" w:eastAsia="华文仿宋" w:cs="华文仿宋"/>
                <w:sz w:val="18"/>
                <w:szCs w:val="18"/>
                <w:lang w:eastAsia="zh-CN"/>
              </w:rPr>
              <w:jc w:val="left"/>
              <w:widowControl w:val="1"/>
            </w:pPr>
            <w:r>
              <w:rPr>
                <w:rFonts w:ascii="Times New Roman" w:hAnsi="Times New Roman" w:eastAsia="华文仿宋"/>
                <w:sz w:val="20"/>
                <w:szCs w:val="20"/>
                <w:color w:val="000000"/>
              </w:rPr>
              <w:t>发件及收件地址、邮件正文和附件；传递、保存邮件。仅限主动提供的内容。</w:t>
            </w:r>
          </w:p>
        </w:tc>
        <w:tc>
          <w:tcPr>
            <w:tcW w:w="2006" w:type="dxa"/>
            <w:tcMar>
              <w:top w:w="57" w:type="dxa"/>
              <w:left w:w="57" w:type="dxa"/>
              <w:bottom w:w="57" w:type="dxa"/>
              <w:right w:w="57" w:type="dxa"/>
            </w:tcMar>
            <w:vAlign w:val="center"/>
          </w:tcPr>
          <w:p>
            <w:pPr>
              <w:spacing w:before="90" w:after="90" w:line="260" w:lineRule="auto"/>
              <w:jc w:val="left"/>
              <w:rPr>
                <w:rFonts w:hint="eastAsia" w:ascii="Times New Roman" w:hAnsi="Times New Roman" w:eastAsia="华文仿宋" w:cs="华文仿宋"/>
                <w:sz w:val="18"/>
                <w:szCs w:val="18"/>
                <w:lang w:eastAsia="zh-CN"/>
              </w:rPr>
              <w:widowControl w:val="1"/>
            </w:pPr>
            <w:r>
              <w:rPr>
                <w:rFonts w:ascii="Times New Roman" w:hAnsi="Times New Roman" w:eastAsia="华文仿宋"/>
                <w:sz w:val="20"/>
                <w:szCs w:val="20"/>
                <w:color w:val="000000"/>
              </w:rPr>
              <w:t>微软隐私声明</w:t>
              <w:br/>
              <w:t>链接见本节正文</w:t>
            </w:r>
          </w:p>
        </w:tc>
      </w:tr>
    </w:tbl>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Vercel 隐私说明：https://vercel.com/legal/privacy-notice</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微软隐私声明：https://www.microsoft.com/zh-cn/privacy/privacystatement</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我们的联系邮箱使用微软 Outlook.com 服务；微软按其隐私声明处理邮件传输、保存及必要安全信息。您自己选用的发件邮箱服务也可能处理相应邮件信息，请查阅实际使用服务的政策。您可以仅发送咨询文字，不必提供存档或其他附件。</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Vercel 的隐私联络邮箱为 privacy@vercel.com。有关本网站访问的信息权利请求，您可以先联系我们，也可以按 Vercel 隐私说明与其联系。Vercel 的公共隐私说明覆盖其多种产品，并不表示本页面启用了其中列举的全部分析、广告或 Cookies 功能。</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如您通过 GitHub 或其他应用商店下载游戏，下载平台会按自己的规则处理平台账号、下载访问和支付等平台行为；这与游戏本身的数据处理不同。本政策不代表这些平台的隐私说明，您应查阅实际使用平台的相关政策。打开外部链接是您的选择，页面不会自动嵌入或加载这些网站的内容。</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六 我们如何保护您的个人信息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我们通过减少收集、本机保存、不集成玩家信息采集 SDK、限制问题反馈的用途和范围，以及使用 HTTPS 提供本隐私网页等方式降低不必要的数据暴露。涉及联系信息时，仅在处理对应请求所需范围内访问，不将邮件附件公开或另作营销。</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本机存档采用普通 JSON 文件，没有额外加密；设备、操作系统或您授予其他程序的文件访问权限可能影响其安全。请妥善保管设备，使用系统密码和可信备份工具；发送截图或存档前检查其中是否包含个人信息。自动本机备份只辅助存档读取，不能保证所有设备故障或误删后均可恢复。</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发生或可能发生涉及我们处理信息的泄露、篡改或丢失时，我们会及时采取补救措施，依法向相关部门报告并履行通知义务，说明涉及信息、影响、已采取措施及您可采取的保护方式。我们会使用已可用的联系渠道通知；无法逐一联系时依法采用公告等合理方式。本政策不免除我们依法应承担的责任。</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七 您如何管理您的个人信息</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1 查阅 复制 更正和说明</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您可以在游戏中查看已显示的战役进度、英雄、圣物、阵容和设置，并调整可修改的设置。对于您通过联系渠道向我们提供的个人信息，可以请求查阅、复制、更正、补充，或要求我们解释处理规则。当前版本没有在线账号、玩家云端档案或游戏内数据导出按钮。</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2 清除本机数据</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Android：在系统设置中打开“应用”或“应用管理”，选择“纪元急袭”，在“存储”或“存储与缓存”中选择“清除数据／清除存储空间”。不同设备名称略有差异；“清除缓存”通常不会清除游戏进度。卸载通常会移除应用私有目录，但您自行建立的副本、设备迁移数据或其他备份仍需另行删除。</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Windows：先退出游戏，在文件资源管理器地址栏输入 %APPDATA%\Godot\app_userdata\Epoch Rush- Pixel Command，清除本游戏目录中的 profile.json、settings.json、match.json 及对应 .bak、.tmp 文件；如需一并清除诊断日志，可删除该目录内的 logs 子目录，或删除整个本游戏用户数据目录。该路径针对当前标准配置；系统账户、便携配置或将来版本改变目录时，可联系开发者确认。仅删除 EXE 或游戏安装目录不会自动删除这类用户数据。</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清除数据会使本机进度和设置重置，开发者没有云存档可以为您恢复。删除前如需保留进度，可自行备份文件；请同时管理您自己创建的副本。当前游戏没有专门的游戏内“清除存档”或“注销账号”按钮。</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3 删除联系信息与撤回同意</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您可以通过隐私联系邮箱请求删除主动提供的邮件或附件，并撤回基于同意进行的处理。撤回不影响撤回前依法进行的处理，也不会影响不需要该信息的离线游戏功能。若法律要求保留部分记录或删除在技术上暂时难以实现，我们会说明依据，并依法停止必要保存和安全措施以外的处理。没有在线账号意味着无需完成账号注销步骤。</w:t>
      </w:r>
    </w:p>
    <w:p>
      <w:pPr>
        <w:pStyle w:val="19"/>
        <w:adjustRightInd w:val="0"/>
        <w:snapToGrid w:val="0"/>
        <w:spacing w:after="156" w:afterLines="50" w:line="360" w:lineRule="auto"/>
        <w:ind w:firstLineChars="0"/>
        <w:rPr>
          <w:rFonts w:ascii="Times New Roman" w:hAnsi="Times New Roman" w:eastAsia="华文仿宋" w:cs="Times New Roman"/>
          <w:b/>
          <w:bCs/>
        </w:rPr>
        <w:widowControl w:val="1"/>
        <w:keepNext w:val="1"/>
      </w:pPr>
      <w:r>
        <w:rPr>
          <w:rFonts w:hint="eastAsia" w:ascii="Times New Roman" w:hAnsi="Times New Roman" w:eastAsia="华文仿宋" w:cs="Times New Roman"/>
          <w:b/>
          <w:bCs/>
          <w:lang w:val="en-US" w:eastAsia="zh-CN"/>
          <w:color w:val="000000"/>
        </w:rPr>
        <w:t xml:space="preserve">4 请求程序与答复</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发送邮件至 carzyg@outlook.com，说明希望行使的权利、相关联系邮件的大致时间及必要的定位信息即可。建议直接使用原发件地址发送，以便核验。我们不会把提供身份证件作为一般请求的前提；仅在确有必要时采用与请求风险相称的最少信息核验。监护人代儿童提出请求时，可能需要必要的监护关系说明，但不应提交与请求无关的证件内容。</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会及时处理合理请求，一般在十五个工作日内答复；如依法或因核实范围需要更长时间，会向您说明原因和进度。合理请求不收费；如依法无法执行全部或部分请求，将说明理由及可用的救济渠道。您也可以依法向个人信息保护相关主管部门投诉、举报或寻求司法救济。</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八 我们如何处理未成年人的个人信息</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重视未成年人的隐私保护。未成年人请在监护人指导下阅读本政策，并合理安排游戏时间。当前版本不通过在线账号、实名认证或年龄画像收集未成年人的身份信息，也不通过游戏向未成年人展示个性化广告。</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未满十四周岁儿童的个人信息属于敏感个人信息。请由父母或其他监护人代表儿童提出需要提供个人信息的联系、反馈或权利请求，优先使用监护人的联系方式，不必告知儿童真实姓名、学校、身份证号或精确住址。仅在具备明确目的和充分必要性、履行专项告知并取得监护人同意后，才会处理确需涉及的儿童个人信息，不将其用于营销、公开展示或与请求无关的其他用途。</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若我们发现未经所需监护人同意而收到儿童个人信息，会停止非必要处理并尽快删除或依法采取其他保护措施。监护人可通过隐私联系邮箱请求了解、更正或删除相关信息。将来如新增专门处理儿童个人信息的在线功能，将在启用前制定并公布专门处理规则，不能以本政策替代相应要求。</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九 本隐私政策如何更新</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我们会根据实际功能和适用规则更新本政策，在网页标明版本、更新和生效日期，并保留可核对的历史版本。请以您实际使用游戏版本对应的说明为准。当前网页初始版本为 ER-PRIVACY-2026-10-08，更新日期和生效日期均为 2026 年 10 月 8 日。</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如未来增加联网账号、广告、统计、支付、云存档、敏感权限或个人信息跨境处理等，或处理目的、方式、种类及主要接收方发生重要变化，我们会在相应处理开始前通过政策网页、版本发布说明及适用的产品提示进行显著告知，并依法取得必要的重新同意、单独同意或监护人同意。仅更新网页不能使旧的离线客户端自动获得新权限，也不代表您已经同意新增处理。</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未经合法依据，我们不会通过修改政策削减您依法享有的个人信息权利。若联系方式发生变化，会更新本政策并维持合理的请求衔接方式。</w:t>
      </w:r>
    </w:p>
    <w:p>
      <w:pPr>
        <w:pStyle w:val="19"/>
        <w:widowControl w:val="1"/>
        <w:adjustRightInd w:val="0"/>
        <w:snapToGrid w:val="0"/>
        <w:spacing w:before="0" w:after="156" w:afterLines="50" w:line="360" w:lineRule="auto"/>
        <w:ind w:left="0" w:firstLine="0" w:firstLineChars="0"/>
        <w:rPr>
          <w:rFonts w:ascii="Times New Roman" w:hAnsi="Times New Roman" w:eastAsia="华文仿宋" w:cs="Times New Roman"/>
          <w:b/>
          <w:bCs/>
          <w:kern w:val="0"/>
        </w:rPr>
        <w:keepNext w:val="1"/>
      </w:pPr>
      <w:r>
        <w:rPr>
          <w:rFonts w:ascii="Times New Roman" w:hAnsi="Times New Roman" w:eastAsia="华文仿宋" w:cs="Times New Roman"/>
          <w:b/>
          <w:bCs/>
          <w:kern w:val="0"/>
          <w:color w:val="000000"/>
        </w:rPr>
        <w:t xml:space="preserve">十 如何联系我们</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开发者及运营者对外名称：Wikig's Room（项目发布账号 wikigsroom）。</w:t>
      </w:r>
    </w:p>
    <w:p>
      <w:pPr>
        <w:adjustRightInd w:val="0"/>
        <w:snapToGrid w:val="0"/>
        <w:spacing w:before="0" w:after="156" w:afterLines="50" w:line="360" w:lineRule="auto"/>
        <w:rPr>
          <w:rFonts w:ascii="Times New Roman" w:hAnsi="Times New Roman" w:eastAsia="华文仿宋" w:cs="Times New Roman"/>
        </w:rPr>
        <w:widowControl w:val="1"/>
      </w:pPr>
      <w:r>
        <w:rPr>
          <w:rFonts w:hint="eastAsia" w:ascii="Times New Roman" w:hAnsi="Times New Roman" w:eastAsia="华文仿宋" w:cs="Times New Roman"/>
          <w:lang w:eastAsia="zh-CN"/>
          <w:color w:val="000000"/>
        </w:rPr>
        <w:t xml:space="preserve">隐私联系邮箱：carzyg@outlook.com。该邮箱用于隐私问题、个人信息权利请求和监护人联系。建议邮件主题使用“纪元急袭 隐私请求”，并仅提供处理该请求所需的内容。答复方式、期限和救济渠道请见第七节第四项。</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 w:type="paragraph" w:styleId="Title" w:customStyle="1">
    <w:name w:val="Title"/>
    <w:basedOn w:val="1"/>
    <w:qFormat/>
    <w:pPr>
      <w:keepNext/>
      <w:jc w:val="center"/>
    </w:pPr>
    <w:rPr>
      <w:rFonts w:ascii="Times New Roman" w:hAnsi="Times New Roman" w:eastAsia="华文仿宋"/>
      <w:sz w:val="32"/>
      <w:color w:val="000000"/>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ScaleCrop>false</ScaleCrop>
  <LinksUpToDate>false</LinksUpToDate>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2026-10-08T02:46:19Z</dcterms:created>
  <dc:creator>Wikig's Room（项目发布账号 wikigsroom）</dc:creator>
  <cp:lastModifiedBy>Wikig's Room（项目发布账号 wikigsroom）</cp:lastModifiedBy>
  <cp:lastPrinted>2019-12-20T04:12:00Z</cp:lastPrinted>
  <dcterms:modified xsi:type="dcterms:W3CDTF">2026-10-08T02:46:19Z</dcterms:modified>
  <cp:revision>1</cp:revision>
  <dc:title>纪元急袭隐私政策</dc:title>
  <dc:subject>ER-PRIVACY-2026-10-08</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